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6"/>
        <w:tblLayout w:type="fixed"/>
      </w:tblPr>
      <w:tblGrid>
        <w:gridCol w:w="2847"/>
        <w:gridCol w:w="3437"/>
        <w:gridCol w:w="1383"/>
        <w:gridCol w:w="82"/>
        <w:gridCol w:w="1335"/>
        <w:gridCol w:w="1418"/>
        <w:gridCol w:w="6"/>
      </w:tblGrid>
      <w:tr>
        <w:trPr>
          <w:trHeight w:hRule="atLeast" w:val="37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61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</w:t>
            </w:r>
          </w:p>
        </w:tc>
      </w:tr>
      <w:tr>
        <w:trPr>
          <w:trHeight w:hRule="atLeast" w:val="28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61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28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61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проекте решения Собрания депутатов Аксайского района</w:t>
            </w:r>
          </w:p>
        </w:tc>
      </w:tr>
      <w:tr>
        <w:trPr>
          <w:trHeight w:hRule="atLeast" w:val="300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61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</w:tr>
      <w:tr>
        <w:trPr>
          <w:trHeight w:hRule="atLeast" w:val="25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61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25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6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3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1050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финансирования дефицита бюджета Аксайского района</w:t>
            </w:r>
          </w:p>
        </w:tc>
        <w:tc>
          <w:tcPr>
            <w:tcW w:type="dxa" w:w="6"/>
          </w:tcPr>
          <w:p/>
        </w:tc>
      </w:tr>
      <w:tr>
        <w:trPr>
          <w:trHeight w:hRule="atLeast" w:val="200"/>
        </w:trPr>
        <w:tc>
          <w:tcPr>
            <w:tcW w:type="dxa" w:w="1050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 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годов</w:t>
            </w:r>
          </w:p>
        </w:tc>
        <w:tc>
          <w:tcPr>
            <w:tcW w:type="dxa" w:w="6"/>
          </w:tcPr>
          <w:p/>
        </w:tc>
      </w:tr>
      <w:tr>
        <w:trPr>
          <w:trHeight w:hRule="atLeast" w:val="265"/>
        </w:trPr>
        <w:tc>
          <w:tcPr>
            <w:tcW w:type="dxa" w:w="284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3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Код </w:t>
            </w:r>
          </w:p>
        </w:tc>
        <w:tc>
          <w:tcPr>
            <w:tcW w:type="dxa" w:w="34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</w:t>
            </w:r>
          </w:p>
        </w:tc>
        <w:tc>
          <w:tcPr>
            <w:tcW w:type="dxa" w:w="13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6"/>
          </w:tcPr>
          <w:p/>
        </w:tc>
      </w:tr>
      <w:tr>
        <w:trPr>
          <w:trHeight w:hRule="atLeast" w:val="1008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936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1248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21 433,4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1248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01 03 01 00 05 0000 810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21 433,4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21 433,3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остатков средств бюджетов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средств бюджетов</w:t>
            </w:r>
          </w:p>
        </w:tc>
        <w:tc>
          <w:tcPr>
            <w:tcW w:type="dxa" w:w="1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01 05 02 01 00 0000 510</w:t>
            </w:r>
          </w:p>
        </w:tc>
        <w:tc>
          <w:tcPr>
            <w:tcW w:type="dxa" w:w="34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3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768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5 385 727,3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312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остатков средств бюджетов</w:t>
            </w:r>
          </w:p>
        </w:tc>
        <w:tc>
          <w:tcPr>
            <w:tcW w:type="dxa" w:w="13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4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средств бюджетов</w:t>
            </w:r>
          </w:p>
        </w:tc>
        <w:tc>
          <w:tcPr>
            <w:tcW w:type="dxa" w:w="13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624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01 05 02 01 00 0000 610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5 385 727,3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  <w:tr>
        <w:trPr>
          <w:trHeight w:hRule="atLeast" w:val="792"/>
        </w:trPr>
        <w:tc>
          <w:tcPr>
            <w:tcW w:type="dxa" w:w="28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type="dxa" w:w="34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type="dxa" w:w="13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6 757 670,3</w:t>
            </w:r>
          </w:p>
        </w:tc>
        <w:tc>
          <w:tcPr>
            <w:tcW w:type="dxa" w:w="1417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5 385 727,3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5 327 561,6</w:t>
            </w:r>
          </w:p>
        </w:tc>
        <w:tc>
          <w:tcPr>
            <w:tcW w:type="dxa" w:w="6"/>
          </w:tcPr>
          <w:p/>
        </w:tc>
      </w:tr>
    </w:tbl>
    <w:p w14:paraId="69000000"/>
    <w:sectPr>
      <w:footerReference r:id="rId1" w:type="default"/>
      <w:pgSz w:h="16838" w:orient="portrait" w:w="11906"/>
      <w:pgMar w:bottom="539" w:footer="0" w:gutter="0" w:header="0" w:left="851" w:right="851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2024-11-18T13:11:51Z</dcterms:modified>
</cp:coreProperties>
</file>